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7E4EEB">
        <w:trPr>
          <w:trHeight w:val="132"/>
        </w:trPr>
        <w:tc>
          <w:tcPr>
            <w:tcW w:w="35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</w:tr>
      <w:tr w:rsidR="007E4EEB">
        <w:trPr>
          <w:trHeight w:val="340"/>
        </w:trPr>
        <w:tc>
          <w:tcPr>
            <w:tcW w:w="35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7E4EE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Javna ustanova Dubrovački muzeji-Dubrovnik</w:t>
                  </w:r>
                </w:p>
              </w:tc>
            </w:tr>
          </w:tbl>
          <w:p w:rsidR="007E4EEB" w:rsidRDefault="007E4EEB">
            <w:pPr>
              <w:spacing w:after="0" w:line="240" w:lineRule="auto"/>
            </w:pPr>
          </w:p>
        </w:tc>
        <w:tc>
          <w:tcPr>
            <w:tcW w:w="1146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</w:tr>
      <w:tr w:rsidR="007E4EEB">
        <w:trPr>
          <w:trHeight w:val="79"/>
        </w:trPr>
        <w:tc>
          <w:tcPr>
            <w:tcW w:w="35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</w:tr>
      <w:tr w:rsidR="007E4EEB">
        <w:trPr>
          <w:trHeight w:val="340"/>
        </w:trPr>
        <w:tc>
          <w:tcPr>
            <w:tcW w:w="35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7E4EE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7E4EEB" w:rsidRDefault="007E4EEB">
            <w:pPr>
              <w:spacing w:after="0" w:line="240" w:lineRule="auto"/>
            </w:pPr>
          </w:p>
        </w:tc>
        <w:tc>
          <w:tcPr>
            <w:tcW w:w="1146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</w:tr>
      <w:tr w:rsidR="007E4EEB">
        <w:trPr>
          <w:trHeight w:val="100"/>
        </w:trPr>
        <w:tc>
          <w:tcPr>
            <w:tcW w:w="35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</w:tr>
      <w:tr w:rsidR="00881BE9" w:rsidTr="00881BE9">
        <w:tc>
          <w:tcPr>
            <w:tcW w:w="35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7E4EE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tonera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muzejskih prostora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4.779,00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48.156,00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tekuće i investicijsko održavanje građevinskog objekta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tekuće i investicijsko održavanje građevinskog objekta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8.799,00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i investicijsko održavanje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 radna odjeća i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složenog IKT rješenja - mreža kao platforma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građevinskog objekta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intelektualne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računalne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Premija osiguranja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i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Ulaganja u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terenskih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Preventivna zaštita muzejskih predmeta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Konzervatorsko restauratorski radovi - Sudnica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24300000-7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za zaštitu i obnovu muzejske građe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24300000-7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Sudjelovanje na kongresima i savjetovanjima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kataloga izložbe "Brodovi na fotografijama i razglednicama od kraja 19. st. do drugog sv. 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izložbu "Proslava otkrivenja spomenika I. Gundulića"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izložbu "Tradicijsko ruho u fundusu Etnografskog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edukativne publikacije "Slova Dubrovačkih muzeja"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edukativne publikacije "Brojke Dubrovačkih muzeja"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mrežne stranice Dubrovačkih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suvenira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39294100-0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promotivnih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30-01-/23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katalogaProslava otkrivenja spmenika I. Gundulića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 kataloško topografski pregled stećaka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kataloga Topografski pregled stećaka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kataloga Tradicijsko ruho u fundusu etnografskog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E4EE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sustava klimatizacije za prostore Kneževa dvora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ED2B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7E4EEB" w:rsidRDefault="007E4EEB">
            <w:pPr>
              <w:spacing w:after="0" w:line="240" w:lineRule="auto"/>
            </w:pPr>
          </w:p>
        </w:tc>
      </w:tr>
      <w:tr w:rsidR="007E4EEB">
        <w:trPr>
          <w:trHeight w:val="79"/>
        </w:trPr>
        <w:tc>
          <w:tcPr>
            <w:tcW w:w="35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</w:tr>
      <w:tr w:rsidR="00881BE9" w:rsidTr="00881BE9">
        <w:trPr>
          <w:trHeight w:val="360"/>
        </w:trPr>
        <w:tc>
          <w:tcPr>
            <w:tcW w:w="35" w:type="dxa"/>
          </w:tcPr>
          <w:p w:rsidR="007E4EEB" w:rsidRDefault="007E4EEB" w:rsidP="00881BE9">
            <w:pPr>
              <w:pStyle w:val="EmptyCellLayoutStyle"/>
              <w:spacing w:after="0" w:line="240" w:lineRule="auto"/>
              <w:jc w:val="right"/>
            </w:pPr>
          </w:p>
        </w:tc>
        <w:tc>
          <w:tcPr>
            <w:tcW w:w="7" w:type="dxa"/>
            <w:gridSpan w:val="2"/>
          </w:tcPr>
          <w:p w:rsidR="007E4EEB" w:rsidRDefault="007E4EEB" w:rsidP="00881BE9">
            <w:pPr>
              <w:spacing w:after="0" w:line="240" w:lineRule="auto"/>
              <w:jc w:val="right"/>
            </w:pPr>
          </w:p>
          <w:p w:rsidR="00881BE9" w:rsidRDefault="00881BE9" w:rsidP="00881BE9">
            <w:pPr>
              <w:spacing w:after="0" w:line="240" w:lineRule="auto"/>
              <w:jc w:val="right"/>
            </w:pPr>
            <w:r>
              <w:t>Ravnateljica</w:t>
            </w:r>
          </w:p>
          <w:p w:rsidR="00881BE9" w:rsidRDefault="00881BE9" w:rsidP="00881BE9">
            <w:pPr>
              <w:spacing w:after="0" w:line="240" w:lineRule="auto"/>
              <w:jc w:val="right"/>
            </w:pPr>
            <w:r>
              <w:t>Ivona Michl</w:t>
            </w:r>
          </w:p>
        </w:tc>
        <w:tc>
          <w:tcPr>
            <w:tcW w:w="1146" w:type="dxa"/>
          </w:tcPr>
          <w:p w:rsidR="007E4EEB" w:rsidRDefault="007E4EEB" w:rsidP="00881BE9">
            <w:pPr>
              <w:pStyle w:val="EmptyCellLayoutStyle"/>
              <w:spacing w:after="0" w:line="240" w:lineRule="auto"/>
              <w:jc w:val="right"/>
            </w:pPr>
          </w:p>
        </w:tc>
      </w:tr>
      <w:tr w:rsidR="007E4EEB">
        <w:trPr>
          <w:trHeight w:val="60"/>
        </w:trPr>
        <w:tc>
          <w:tcPr>
            <w:tcW w:w="35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E4EEB" w:rsidRDefault="00881BE9">
            <w:pPr>
              <w:pStyle w:val="EmptyCellLayoutStyle"/>
              <w:spacing w:after="0" w:line="240" w:lineRule="auto"/>
            </w:pPr>
            <w:r>
              <w:t>R</w:t>
            </w:r>
          </w:p>
        </w:tc>
      </w:tr>
      <w:tr w:rsidR="00881BE9" w:rsidTr="00881BE9">
        <w:trPr>
          <w:trHeight w:val="360"/>
        </w:trPr>
        <w:tc>
          <w:tcPr>
            <w:tcW w:w="35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7E4EE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4EEB" w:rsidRDefault="007E4EEB">
                  <w:pPr>
                    <w:spacing w:after="0" w:line="240" w:lineRule="auto"/>
                  </w:pPr>
                </w:p>
              </w:tc>
            </w:tr>
          </w:tbl>
          <w:p w:rsidR="007E4EEB" w:rsidRDefault="007E4EEB">
            <w:pPr>
              <w:spacing w:after="0" w:line="240" w:lineRule="auto"/>
            </w:pPr>
          </w:p>
        </w:tc>
        <w:tc>
          <w:tcPr>
            <w:tcW w:w="1146" w:type="dxa"/>
          </w:tcPr>
          <w:p w:rsidR="007E4EEB" w:rsidRDefault="007E4EEB">
            <w:pPr>
              <w:pStyle w:val="EmptyCellLayoutStyle"/>
              <w:spacing w:after="0" w:line="240" w:lineRule="auto"/>
            </w:pPr>
          </w:p>
        </w:tc>
      </w:tr>
    </w:tbl>
    <w:p w:rsidR="007E4EEB" w:rsidRDefault="007E4EEB">
      <w:pPr>
        <w:spacing w:after="0" w:line="240" w:lineRule="auto"/>
      </w:pPr>
      <w:bookmarkStart w:id="0" w:name="_GoBack"/>
      <w:bookmarkEnd w:id="0"/>
    </w:p>
    <w:sectPr w:rsidR="007E4EEB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76" w:rsidRDefault="00ED2B76">
      <w:pPr>
        <w:spacing w:after="0" w:line="240" w:lineRule="auto"/>
      </w:pPr>
      <w:r>
        <w:separator/>
      </w:r>
    </w:p>
  </w:endnote>
  <w:endnote w:type="continuationSeparator" w:id="0">
    <w:p w:rsidR="00ED2B76" w:rsidRDefault="00ED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7E4EEB">
      <w:tc>
        <w:tcPr>
          <w:tcW w:w="18556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</w:tr>
    <w:tr w:rsidR="007E4EE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7E4EE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E4EEB" w:rsidRDefault="00ED2B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E4EEB" w:rsidRDefault="007E4EEB">
          <w:pPr>
            <w:spacing w:after="0" w:line="240" w:lineRule="auto"/>
          </w:pPr>
        </w:p>
      </w:tc>
      <w:tc>
        <w:tcPr>
          <w:tcW w:w="1113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</w:tr>
    <w:tr w:rsidR="007E4EEB">
      <w:tc>
        <w:tcPr>
          <w:tcW w:w="18556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76" w:rsidRDefault="00ED2B76">
      <w:pPr>
        <w:spacing w:after="0" w:line="240" w:lineRule="auto"/>
      </w:pPr>
      <w:r>
        <w:separator/>
      </w:r>
    </w:p>
  </w:footnote>
  <w:footnote w:type="continuationSeparator" w:id="0">
    <w:p w:rsidR="00ED2B76" w:rsidRDefault="00ED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7E4EEB">
      <w:tc>
        <w:tcPr>
          <w:tcW w:w="35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</w:tr>
    <w:tr w:rsidR="007E4EEB">
      <w:tc>
        <w:tcPr>
          <w:tcW w:w="35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E4EEB" w:rsidRDefault="00ED2B7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</w:tr>
    <w:tr w:rsidR="007E4EEB">
      <w:tc>
        <w:tcPr>
          <w:tcW w:w="35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7E4EE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E4EEB" w:rsidRDefault="00ED2B7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7E4EEB" w:rsidRDefault="007E4EEB">
          <w:pPr>
            <w:spacing w:after="0" w:line="240" w:lineRule="auto"/>
          </w:pPr>
        </w:p>
      </w:tc>
      <w:tc>
        <w:tcPr>
          <w:tcW w:w="1153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</w:tr>
    <w:tr w:rsidR="007E4EEB">
      <w:tc>
        <w:tcPr>
          <w:tcW w:w="35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E4EEB" w:rsidRDefault="007E4EE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4EEB"/>
    <w:rsid w:val="007E4EEB"/>
    <w:rsid w:val="00881BE9"/>
    <w:rsid w:val="00E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3B8D"/>
  <w15:docId w15:val="{E856F5D2-31DC-4F81-83BB-64AE61A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User</cp:lastModifiedBy>
  <cp:revision>3</cp:revision>
  <dcterms:created xsi:type="dcterms:W3CDTF">2023-02-14T14:17:00Z</dcterms:created>
  <dcterms:modified xsi:type="dcterms:W3CDTF">2023-02-14T14:18:00Z</dcterms:modified>
</cp:coreProperties>
</file>